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697" w:rsidRPr="00AC48D4" w:rsidRDefault="00E03697" w:rsidP="00E03697">
      <w:pPr>
        <w:widowControl w:val="0"/>
        <w:tabs>
          <w:tab w:val="left" w:pos="1700"/>
        </w:tabs>
        <w:autoSpaceDE w:val="0"/>
        <w:spacing w:before="60" w:after="100" w:line="264" w:lineRule="auto"/>
        <w:ind w:firstLine="0"/>
        <w:jc w:val="center"/>
        <w:textAlignment w:val="baseline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5.8</w:t>
      </w:r>
      <w:r w:rsidRPr="00AC48D4">
        <w:rPr>
          <w:b/>
          <w:snapToGrid w:val="0"/>
          <w:sz w:val="24"/>
          <w:szCs w:val="24"/>
        </w:rPr>
        <w:t xml:space="preserve"> </w:t>
      </w:r>
      <w:r>
        <w:rPr>
          <w:b/>
          <w:iCs/>
          <w:snapToGrid w:val="0"/>
          <w:sz w:val="24"/>
          <w:szCs w:val="24"/>
        </w:rPr>
        <w:t>С</w:t>
      </w:r>
      <w:r w:rsidRPr="00723F10">
        <w:rPr>
          <w:b/>
          <w:iCs/>
          <w:snapToGrid w:val="0"/>
          <w:sz w:val="24"/>
          <w:szCs w:val="24"/>
        </w:rPr>
        <w:t>ведения в отношении всей цепочки его собственников, включая бенефициаров (в том числе конечных), согласие на обработку персональных данных</w:t>
      </w:r>
    </w:p>
    <w:p w:rsidR="00E03697" w:rsidRDefault="00E03697" w:rsidP="00E03697">
      <w:pPr>
        <w:spacing w:line="240" w:lineRule="auto"/>
      </w:pPr>
      <w:proofErr w:type="gramStart"/>
      <w:r>
        <w:t>В приложенном каталоге</w:t>
      </w:r>
      <w:r w:rsidRPr="009F236E">
        <w:t xml:space="preserve"> (</w:t>
      </w:r>
      <w:r w:rsidRPr="00723F10">
        <w:t>Приложение № 3.</w:t>
      </w:r>
      <w:proofErr w:type="gramEnd"/>
      <w:r w:rsidRPr="00723F10">
        <w:t xml:space="preserve"> </w:t>
      </w:r>
      <w:proofErr w:type="gramStart"/>
      <w:r w:rsidRPr="00723F10">
        <w:t>Сведения в отношении бенефициаров</w:t>
      </w:r>
      <w:r w:rsidRPr="009F236E">
        <w:t>).</w:t>
      </w:r>
      <w:proofErr w:type="gramEnd"/>
      <w:r>
        <w:t xml:space="preserve"> Помимо </w:t>
      </w:r>
      <w:proofErr w:type="gramStart"/>
      <w:r>
        <w:t>скан-копии</w:t>
      </w:r>
      <w:proofErr w:type="gramEnd"/>
      <w:r>
        <w:t xml:space="preserve"> необходимо приложить в формате </w:t>
      </w:r>
      <w:r>
        <w:rPr>
          <w:lang w:val="en-US"/>
        </w:rPr>
        <w:t>Excel</w:t>
      </w:r>
      <w:r w:rsidRPr="00BC008C">
        <w:t>.</w:t>
      </w:r>
      <w:r>
        <w:t xml:space="preserve"> </w:t>
      </w:r>
    </w:p>
    <w:p w:rsidR="008840D3" w:rsidRDefault="008840D3" w:rsidP="008840D3">
      <w:pPr>
        <w:pBdr>
          <w:bottom w:val="single" w:sz="12" w:space="1" w:color="auto"/>
        </w:pBdr>
        <w:spacing w:line="240" w:lineRule="auto"/>
        <w:rPr>
          <w:szCs w:val="28"/>
        </w:rPr>
      </w:pPr>
    </w:p>
    <w:p w:rsidR="00E03697" w:rsidRDefault="00E03697" w:rsidP="008840D3">
      <w:pPr>
        <w:spacing w:line="240" w:lineRule="auto"/>
        <w:rPr>
          <w:szCs w:val="28"/>
        </w:rPr>
      </w:pPr>
      <w:bookmarkStart w:id="0" w:name="_GoBack"/>
      <w:bookmarkEnd w:id="0"/>
    </w:p>
    <w:p w:rsidR="00E03697" w:rsidRPr="00A55A08" w:rsidRDefault="00E03697" w:rsidP="008840D3">
      <w:pPr>
        <w:spacing w:line="240" w:lineRule="auto"/>
        <w:rPr>
          <w:szCs w:val="28"/>
        </w:rPr>
      </w:pPr>
    </w:p>
    <w:p w:rsidR="008840D3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jc w:val="center"/>
        <w:rPr>
          <w:szCs w:val="28"/>
        </w:rPr>
      </w:pPr>
      <w:r>
        <w:rPr>
          <w:szCs w:val="28"/>
        </w:rPr>
        <w:t xml:space="preserve">Инструкция по заполнению отчетной формы предоставления данных </w:t>
      </w:r>
    </w:p>
    <w:p w:rsidR="008840D3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jc w:val="center"/>
        <w:rPr>
          <w:szCs w:val="28"/>
        </w:rPr>
      </w:pPr>
      <w:r>
        <w:rPr>
          <w:szCs w:val="28"/>
        </w:rPr>
        <w:t xml:space="preserve">о цепочке конечных собственников Контрагентом ОАО «МРСК Юга» 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jc w:val="center"/>
        <w:rPr>
          <w:szCs w:val="28"/>
        </w:rPr>
      </w:pPr>
      <w:r>
        <w:rPr>
          <w:szCs w:val="28"/>
        </w:rPr>
        <w:t>при участии в торгово-закупочных процедурах</w:t>
      </w:r>
    </w:p>
    <w:p w:rsidR="008840D3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t xml:space="preserve">Контрагент </w:t>
      </w:r>
      <w:r>
        <w:rPr>
          <w:szCs w:val="28"/>
        </w:rPr>
        <w:t>-</w:t>
      </w:r>
      <w:r w:rsidRPr="00A55A08">
        <w:rPr>
          <w:szCs w:val="28"/>
        </w:rPr>
        <w:t xml:space="preserve"> юридическое или физическое лицо, вступающее в договорные отношения с Обществом.</w:t>
      </w:r>
    </w:p>
    <w:p w:rsidR="008840D3" w:rsidRPr="00A55A08" w:rsidRDefault="008840D3" w:rsidP="008840D3">
      <w:pPr>
        <w:spacing w:line="240" w:lineRule="auto"/>
        <w:rPr>
          <w:szCs w:val="28"/>
        </w:rPr>
      </w:pPr>
      <w:r w:rsidRPr="00A55A08">
        <w:rPr>
          <w:szCs w:val="28"/>
        </w:rPr>
        <w:t xml:space="preserve">Бенефициар </w:t>
      </w:r>
      <w:r>
        <w:rPr>
          <w:szCs w:val="28"/>
        </w:rPr>
        <w:t>-</w:t>
      </w:r>
      <w:r w:rsidRPr="00A55A08">
        <w:rPr>
          <w:szCs w:val="28"/>
        </w:rPr>
        <w:t xml:space="preserve"> физическое лицо, получающее </w:t>
      </w:r>
      <w:hyperlink r:id="rId6" w:tooltip="Доходы" w:history="1">
        <w:r w:rsidRPr="00A407D7">
          <w:t>доходы</w:t>
        </w:r>
      </w:hyperlink>
      <w:r w:rsidRPr="00A55A08">
        <w:rPr>
          <w:szCs w:val="28"/>
        </w:rPr>
        <w:t xml:space="preserve"> и являющееся выгодоприобретателем от использования своей </w:t>
      </w:r>
      <w:hyperlink r:id="rId7" w:tooltip="Собственность" w:history="1">
        <w:r w:rsidRPr="00A407D7">
          <w:t>собственности</w:t>
        </w:r>
      </w:hyperlink>
      <w:r w:rsidRPr="00A55A08">
        <w:rPr>
          <w:szCs w:val="28"/>
        </w:rPr>
        <w:t xml:space="preserve"> (акций, долей, имущества и т.п.), получатель денег, выгоды, прибыли по заключаемой сделке. </w:t>
      </w:r>
    </w:p>
    <w:p w:rsidR="008840D3" w:rsidRPr="00A55A08" w:rsidRDefault="008840D3" w:rsidP="008840D3">
      <w:pPr>
        <w:spacing w:line="240" w:lineRule="auto"/>
        <w:rPr>
          <w:szCs w:val="28"/>
        </w:rPr>
      </w:pPr>
      <w:r w:rsidRPr="00A55A08">
        <w:rPr>
          <w:szCs w:val="28"/>
        </w:rPr>
        <w:t>Раскрытие информации о бенефициарах - для целей настоящего Регламента и исполнения требований Председателя Правительства Р</w:t>
      </w:r>
      <w:r>
        <w:rPr>
          <w:szCs w:val="28"/>
        </w:rPr>
        <w:t xml:space="preserve">оссийской </w:t>
      </w:r>
      <w:r w:rsidRPr="00A55A08">
        <w:rPr>
          <w:szCs w:val="28"/>
        </w:rPr>
        <w:t>Ф</w:t>
      </w:r>
      <w:r>
        <w:rPr>
          <w:szCs w:val="28"/>
        </w:rPr>
        <w:t>едерации</w:t>
      </w:r>
      <w:r w:rsidRPr="00A55A08">
        <w:rPr>
          <w:szCs w:val="28"/>
        </w:rPr>
        <w:t xml:space="preserve"> раскрытием информации о конечных бенефициарах контрагентов Общества признается раскрытие данных об учредителях юридического лица - физических лицах. Полным раскрытием бенефициаров признается раскрытие юридических и физических лиц по всей цепочке собственников контрагента вплоть до конечных учредителей физических лиц с раскрытием необходимых идентифицирующих данных (ИНН, данные паспорта и т.п.), установленных соответствующими формами. </w:t>
      </w:r>
    </w:p>
    <w:p w:rsidR="008840D3" w:rsidRPr="00A55A08" w:rsidRDefault="008840D3" w:rsidP="008840D3">
      <w:pPr>
        <w:spacing w:line="240" w:lineRule="auto"/>
        <w:rPr>
          <w:szCs w:val="28"/>
        </w:rPr>
      </w:pPr>
      <w:r w:rsidRPr="00A55A08">
        <w:rPr>
          <w:szCs w:val="28"/>
        </w:rPr>
        <w:t>Персональные данные -  данные о физических лицах, позволяющие их идентифицировать, в соответствии с требованиями  Федерального Закона от 27</w:t>
      </w:r>
      <w:r>
        <w:rPr>
          <w:szCs w:val="28"/>
        </w:rPr>
        <w:t xml:space="preserve"> июля </w:t>
      </w:r>
      <w:r w:rsidRPr="00A55A08">
        <w:rPr>
          <w:szCs w:val="28"/>
        </w:rPr>
        <w:t>2006</w:t>
      </w:r>
      <w:r>
        <w:rPr>
          <w:szCs w:val="28"/>
        </w:rPr>
        <w:t> г.</w:t>
      </w:r>
      <w:r w:rsidRPr="00A55A08">
        <w:rPr>
          <w:szCs w:val="28"/>
        </w:rPr>
        <w:t xml:space="preserve"> №</w:t>
      </w:r>
      <w:r>
        <w:rPr>
          <w:szCs w:val="28"/>
        </w:rPr>
        <w:t> </w:t>
      </w:r>
      <w:r w:rsidRPr="00A55A08">
        <w:rPr>
          <w:szCs w:val="28"/>
        </w:rPr>
        <w:t>152-ФЗ «О персональных данных». В рамках исполнения настоящего регламента персональными данными являются паспортные данные и адреса регистрации физических лиц.</w:t>
      </w: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t>При заполнении формы информация о собственниках контрагентов, включая конечных бенефициаров, должна раскрываться полностью и содержать данные, позволяющие их идентифицировать (для физических лиц</w:t>
      </w:r>
      <w:r>
        <w:rPr>
          <w:szCs w:val="28"/>
        </w:rPr>
        <w:t> </w:t>
      </w:r>
      <w:r w:rsidRPr="00A55A08">
        <w:rPr>
          <w:szCs w:val="28"/>
        </w:rPr>
        <w:t xml:space="preserve">- ИНН, паспортные данные, адрес регистрации, для юридических лиц </w:t>
      </w:r>
      <w:r>
        <w:rPr>
          <w:szCs w:val="28"/>
        </w:rPr>
        <w:t>-</w:t>
      </w:r>
      <w:r w:rsidRPr="00A55A08">
        <w:rPr>
          <w:szCs w:val="28"/>
        </w:rPr>
        <w:t xml:space="preserve"> ИНН, ОГРН, адрес регистрации). Не допускается наличие пустых граф при заполнении данных разделов формы </w:t>
      </w:r>
      <w:r>
        <w:rPr>
          <w:szCs w:val="28"/>
        </w:rPr>
        <w:t>-</w:t>
      </w:r>
      <w:r w:rsidRPr="00A55A08">
        <w:rPr>
          <w:szCs w:val="28"/>
        </w:rPr>
        <w:t xml:space="preserve"> при отсутствии у физического лица ИНН в соответствующей графе делается пометка об этом, при этом в обязательном порядке раскрываются данные паспорта с приложением скан-копий подтверждающих документов по указанному в форме формату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при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заключении</w:t>
      </w:r>
      <w:proofErr w:type="gramEnd"/>
      <w:r>
        <w:rPr>
          <w:szCs w:val="28"/>
        </w:rPr>
        <w:t xml:space="preserve"> Контрагентом договора по результатам проведения торгово-закупочной процедуры</w:t>
      </w:r>
      <w:r w:rsidRPr="00A55A08">
        <w:rPr>
          <w:szCs w:val="28"/>
        </w:rPr>
        <w:t xml:space="preserve">. </w:t>
      </w: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t>Фамилии, имена, и отчества физических лиц, наименования юридических лиц пишутся полностью. При налич</w:t>
      </w:r>
      <w:proofErr w:type="gramStart"/>
      <w:r w:rsidRPr="00A55A08">
        <w:rPr>
          <w:szCs w:val="28"/>
        </w:rPr>
        <w:t>ии у ю</w:t>
      </w:r>
      <w:proofErr w:type="gramEnd"/>
      <w:r w:rsidRPr="00A55A08">
        <w:rPr>
          <w:szCs w:val="28"/>
        </w:rPr>
        <w:t xml:space="preserve">ридического лица двух и более наименований, включая сокращенные наименования и наименования на иностранном языке, в соответствующей графе через дробь заполняются все наименования. </w:t>
      </w: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lastRenderedPageBreak/>
        <w:t>Для государственных и муниципальных организаций обязательным является раскрытие информации о государственном или муниципальном органе (учреждении), являющемся учредителем данной организации, при этом в соответствующей графе данному органу (учреждении) присваивается критерий «</w:t>
      </w:r>
      <w:r w:rsidRPr="008840D3">
        <w:rPr>
          <w:szCs w:val="28"/>
          <w:u w:val="single"/>
        </w:rPr>
        <w:t>бенефициар</w:t>
      </w:r>
      <w:r w:rsidRPr="00A55A08">
        <w:rPr>
          <w:szCs w:val="28"/>
        </w:rPr>
        <w:t>». ФИО руководителя государственного или муниципального органа (учреждения) при этом не указываются.</w:t>
      </w: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t>Для некоммерческих организаций раскрытие информации об учредителях и конечных бенефициарах осуществляется в таком же порядке, как и для остальных юридических лиц.</w:t>
      </w: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t>В случае</w:t>
      </w:r>
      <w:proofErr w:type="gramStart"/>
      <w:r w:rsidRPr="00A55A08">
        <w:rPr>
          <w:szCs w:val="28"/>
        </w:rPr>
        <w:t>,</w:t>
      </w:r>
      <w:proofErr w:type="gramEnd"/>
      <w:r w:rsidRPr="00A55A08">
        <w:rPr>
          <w:szCs w:val="28"/>
        </w:rPr>
        <w:t xml:space="preserve"> если контрагентом является индивидуальный предприниматель, то информация о нем заполняется дважды в левой и правой части формы, в соответствующей графе присваивается критерий «</w:t>
      </w:r>
      <w:r w:rsidRPr="008840D3">
        <w:rPr>
          <w:szCs w:val="28"/>
          <w:u w:val="single"/>
        </w:rPr>
        <w:t>бенефициар</w:t>
      </w:r>
      <w:r w:rsidRPr="00A55A08">
        <w:rPr>
          <w:szCs w:val="28"/>
        </w:rPr>
        <w:t xml:space="preserve">». </w:t>
      </w:r>
    </w:p>
    <w:p w:rsidR="008840D3" w:rsidRPr="00A55A08" w:rsidRDefault="008840D3" w:rsidP="008840D3">
      <w:pPr>
        <w:tabs>
          <w:tab w:val="left" w:pos="1276"/>
        </w:tabs>
        <w:spacing w:line="240" w:lineRule="auto"/>
        <w:rPr>
          <w:szCs w:val="28"/>
        </w:rPr>
      </w:pPr>
      <w:r w:rsidRPr="00A55A08">
        <w:rPr>
          <w:szCs w:val="28"/>
        </w:rPr>
        <w:t xml:space="preserve">Данные о стоимости договора </w:t>
      </w:r>
      <w:r>
        <w:rPr>
          <w:szCs w:val="28"/>
        </w:rPr>
        <w:t xml:space="preserve">при заполнении соответствующего приложения при заключении договора по результатам проведения торгово-закупочной процедуры </w:t>
      </w:r>
      <w:r w:rsidRPr="00A55A08">
        <w:rPr>
          <w:szCs w:val="28"/>
        </w:rPr>
        <w:t>вносятся исключительно в цифровом формате в млн. рублей</w:t>
      </w:r>
      <w:proofErr w:type="gramStart"/>
      <w:r w:rsidRPr="00A55A08">
        <w:rPr>
          <w:szCs w:val="28"/>
        </w:rPr>
        <w:t>.</w:t>
      </w:r>
      <w:proofErr w:type="gramEnd"/>
      <w:r w:rsidRPr="00A55A08">
        <w:rPr>
          <w:szCs w:val="28"/>
        </w:rPr>
        <w:t xml:space="preserve"> </w:t>
      </w:r>
      <w:proofErr w:type="gramStart"/>
      <w:r w:rsidRPr="00A55A08">
        <w:rPr>
          <w:szCs w:val="28"/>
        </w:rPr>
        <w:t>с</w:t>
      </w:r>
      <w:proofErr w:type="gramEnd"/>
      <w:r w:rsidRPr="00A55A08">
        <w:rPr>
          <w:szCs w:val="28"/>
        </w:rPr>
        <w:t xml:space="preserve"> раскрытием не менее трех знаков после запятой. Запрещено внесение в данный столбец нецифровых пометок – указание валюты, внесение информации о наличии либо отсутствии НДС и т.п. При необходимости пометка об этом делается в графе «Иные существенные условия».  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 xml:space="preserve">Информация о собственниках контрагентов, включая конечных бенефициаров, заполняется по каждому договору с раскрытием цепочки собственников в соответствии с приведенным в форме примером. Информация о руководителе раскрываемого лица в правой стороне формы не указывается. 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>При заполнении столбца 19 («Руководитель / участник / акционер / бенефициар») рекомендуется применение следующих подходов: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>если учредителем юридического лица является также юридическое лицо, то в зависимости от формы собственности последнего присваивается соответствующий критерий – учредителю ООО присваивается критерий «</w:t>
      </w:r>
      <w:r w:rsidRPr="008840D3">
        <w:rPr>
          <w:szCs w:val="28"/>
          <w:u w:val="single"/>
        </w:rPr>
        <w:t>участник</w:t>
      </w:r>
      <w:r w:rsidRPr="00A55A08">
        <w:rPr>
          <w:szCs w:val="28"/>
        </w:rPr>
        <w:t>», учредителю ЗАО и ОАО присваивается критерий «</w:t>
      </w:r>
      <w:r w:rsidRPr="008840D3">
        <w:rPr>
          <w:szCs w:val="28"/>
          <w:u w:val="single"/>
        </w:rPr>
        <w:t>акционер</w:t>
      </w:r>
      <w:r w:rsidRPr="00A55A08">
        <w:rPr>
          <w:szCs w:val="28"/>
        </w:rPr>
        <w:t xml:space="preserve">», 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>обязательным является раскрытие данных руководителя юридического лица, являющегося учредителем первоначального юридического лица, которому присваивается критерий «</w:t>
      </w:r>
      <w:r w:rsidRPr="008840D3">
        <w:rPr>
          <w:szCs w:val="28"/>
          <w:u w:val="single"/>
        </w:rPr>
        <w:t>руководитель</w:t>
      </w:r>
      <w:r w:rsidRPr="00A55A08">
        <w:rPr>
          <w:szCs w:val="28"/>
        </w:rPr>
        <w:t xml:space="preserve">», 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>физическому лицу, являющемуся конечным учредителем в цепочке собственников присваивается критерий «</w:t>
      </w:r>
      <w:r w:rsidRPr="008840D3">
        <w:rPr>
          <w:szCs w:val="28"/>
          <w:u w:val="single"/>
        </w:rPr>
        <w:t>бенефициар</w:t>
      </w:r>
      <w:r w:rsidRPr="00A55A08">
        <w:rPr>
          <w:szCs w:val="28"/>
        </w:rPr>
        <w:t xml:space="preserve">».  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>В отношении публичных акционерных обществ, акции которых котируются на биржах</w:t>
      </w:r>
      <w:r w:rsidR="00A407D7">
        <w:rPr>
          <w:szCs w:val="28"/>
        </w:rPr>
        <w:t>,</w:t>
      </w:r>
      <w:r w:rsidRPr="00A55A08">
        <w:rPr>
          <w:szCs w:val="28"/>
        </w:rPr>
        <w:t xml:space="preserve"> допускается прямая ссылка на общедоступный источник, посредством которого в установленном законом порядке раскрыта соответствующая информация (данные о бенефициарах и акционерах, владеющих более 5% акций, и общая информация в отношении остальных акционеров).</w:t>
      </w:r>
    </w:p>
    <w:p w:rsidR="008840D3" w:rsidRPr="00A55A08" w:rsidRDefault="008840D3" w:rsidP="008840D3">
      <w:pPr>
        <w:pStyle w:val="5ABCD"/>
        <w:numPr>
          <w:ilvl w:val="0"/>
          <w:numId w:val="0"/>
        </w:numPr>
        <w:spacing w:line="240" w:lineRule="auto"/>
        <w:ind w:firstLine="720"/>
        <w:rPr>
          <w:szCs w:val="28"/>
        </w:rPr>
      </w:pPr>
      <w:r w:rsidRPr="00A55A08">
        <w:rPr>
          <w:szCs w:val="28"/>
        </w:rPr>
        <w:t>Цепочки собственников по контрагенту являются раскрытыми корректно</w:t>
      </w:r>
      <w:r w:rsidR="00A407D7">
        <w:rPr>
          <w:szCs w:val="28"/>
        </w:rPr>
        <w:t>,</w:t>
      </w:r>
      <w:r w:rsidRPr="00A55A08">
        <w:rPr>
          <w:szCs w:val="28"/>
        </w:rPr>
        <w:t xml:space="preserve"> если в графе 19 отчетной формы указано наименование «</w:t>
      </w:r>
      <w:r w:rsidRPr="00A407D7">
        <w:rPr>
          <w:szCs w:val="28"/>
          <w:u w:val="single"/>
        </w:rPr>
        <w:t>бенефициар</w:t>
      </w:r>
      <w:r w:rsidRPr="00A55A08">
        <w:rPr>
          <w:szCs w:val="28"/>
        </w:rPr>
        <w:t xml:space="preserve">» (физическое лицо, государственное учреждение) в разрезе каждого учредителя (собственника), указанного на первом уровне цепочки. </w:t>
      </w:r>
      <w:proofErr w:type="spellStart"/>
      <w:r w:rsidRPr="00A55A08">
        <w:rPr>
          <w:szCs w:val="28"/>
        </w:rPr>
        <w:t>Нераскрытие</w:t>
      </w:r>
      <w:proofErr w:type="spellEnd"/>
      <w:r w:rsidRPr="00A55A08">
        <w:rPr>
          <w:szCs w:val="28"/>
        </w:rPr>
        <w:t xml:space="preserve">, частичное раскрытие, непредставление сведений или </w:t>
      </w:r>
      <w:r w:rsidRPr="00A55A08">
        <w:rPr>
          <w:szCs w:val="28"/>
        </w:rPr>
        <w:lastRenderedPageBreak/>
        <w:t>раскрытие сведений в формате, противоречащем установленном данным порядком, и направление такой информаци</w:t>
      </w:r>
      <w:r w:rsidR="00A407D7">
        <w:rPr>
          <w:szCs w:val="28"/>
        </w:rPr>
        <w:t xml:space="preserve">и Участником торгово-закупочных процедур, проводимых </w:t>
      </w:r>
      <w:r w:rsidRPr="00A55A08">
        <w:rPr>
          <w:szCs w:val="28"/>
        </w:rPr>
        <w:t>ОАО «МРСК Юга»</w:t>
      </w:r>
      <w:r w:rsidR="00A407D7">
        <w:rPr>
          <w:szCs w:val="28"/>
        </w:rPr>
        <w:t>,</w:t>
      </w:r>
      <w:r w:rsidRPr="00A55A08">
        <w:rPr>
          <w:szCs w:val="28"/>
        </w:rPr>
        <w:t xml:space="preserve"> признается неисполнением требований по раскрытию информации. </w:t>
      </w:r>
    </w:p>
    <w:sectPr w:rsidR="008840D3" w:rsidRPr="00A55A08" w:rsidSect="00BE5A65">
      <w:pgSz w:w="11906" w:h="16838"/>
      <w:pgMar w:top="71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752"/>
    <w:multiLevelType w:val="hybridMultilevel"/>
    <w:tmpl w:val="8EC0E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8659B"/>
    <w:multiLevelType w:val="hybridMultilevel"/>
    <w:tmpl w:val="35EAE060"/>
    <w:lvl w:ilvl="0" w:tplc="C50291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4BF635C"/>
    <w:multiLevelType w:val="hybridMultilevel"/>
    <w:tmpl w:val="12B8A52E"/>
    <w:lvl w:ilvl="0" w:tplc="E11CA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9226AE"/>
    <w:multiLevelType w:val="hybridMultilevel"/>
    <w:tmpl w:val="203ABC9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C5E7160"/>
    <w:multiLevelType w:val="multilevel"/>
    <w:tmpl w:val="79FAD648"/>
    <w:lvl w:ilvl="0">
      <w:start w:val="1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5">
    <w:nsid w:val="58AD3C89"/>
    <w:multiLevelType w:val="hybridMultilevel"/>
    <w:tmpl w:val="68AAD3A4"/>
    <w:lvl w:ilvl="0" w:tplc="751C3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DD7903"/>
    <w:multiLevelType w:val="hybridMultilevel"/>
    <w:tmpl w:val="251AC6B6"/>
    <w:lvl w:ilvl="0" w:tplc="4DFC4046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28"/>
    <w:rsid w:val="000022EA"/>
    <w:rsid w:val="0003234A"/>
    <w:rsid w:val="00036687"/>
    <w:rsid w:val="00040B5D"/>
    <w:rsid w:val="00040CF9"/>
    <w:rsid w:val="0006205B"/>
    <w:rsid w:val="000847B6"/>
    <w:rsid w:val="00095447"/>
    <w:rsid w:val="000A311C"/>
    <w:rsid w:val="000A4B76"/>
    <w:rsid w:val="000C5999"/>
    <w:rsid w:val="000D7867"/>
    <w:rsid w:val="000F2B98"/>
    <w:rsid w:val="0010104C"/>
    <w:rsid w:val="00113C45"/>
    <w:rsid w:val="00133BF0"/>
    <w:rsid w:val="00152613"/>
    <w:rsid w:val="00164D0A"/>
    <w:rsid w:val="00186BB6"/>
    <w:rsid w:val="001B53D9"/>
    <w:rsid w:val="001C302A"/>
    <w:rsid w:val="001E2F83"/>
    <w:rsid w:val="001F181F"/>
    <w:rsid w:val="002006C4"/>
    <w:rsid w:val="00221064"/>
    <w:rsid w:val="00225637"/>
    <w:rsid w:val="00231C5C"/>
    <w:rsid w:val="0024550B"/>
    <w:rsid w:val="0024570F"/>
    <w:rsid w:val="00261C8C"/>
    <w:rsid w:val="002671EF"/>
    <w:rsid w:val="002817FF"/>
    <w:rsid w:val="00284260"/>
    <w:rsid w:val="002940F7"/>
    <w:rsid w:val="002B1730"/>
    <w:rsid w:val="002F627A"/>
    <w:rsid w:val="002F736A"/>
    <w:rsid w:val="0030088E"/>
    <w:rsid w:val="00345C11"/>
    <w:rsid w:val="003A0833"/>
    <w:rsid w:val="003B41AE"/>
    <w:rsid w:val="003C6C86"/>
    <w:rsid w:val="00402978"/>
    <w:rsid w:val="0043250A"/>
    <w:rsid w:val="004505A5"/>
    <w:rsid w:val="004C621B"/>
    <w:rsid w:val="00510419"/>
    <w:rsid w:val="0057171C"/>
    <w:rsid w:val="005A4FBC"/>
    <w:rsid w:val="006065DA"/>
    <w:rsid w:val="0061310F"/>
    <w:rsid w:val="006143D0"/>
    <w:rsid w:val="00623C50"/>
    <w:rsid w:val="006604D0"/>
    <w:rsid w:val="00664C87"/>
    <w:rsid w:val="00675280"/>
    <w:rsid w:val="006B7F28"/>
    <w:rsid w:val="006C72DD"/>
    <w:rsid w:val="006D537D"/>
    <w:rsid w:val="006F5747"/>
    <w:rsid w:val="00702913"/>
    <w:rsid w:val="007122B8"/>
    <w:rsid w:val="007541F2"/>
    <w:rsid w:val="0076552C"/>
    <w:rsid w:val="00774355"/>
    <w:rsid w:val="0078386C"/>
    <w:rsid w:val="007E5D21"/>
    <w:rsid w:val="00847085"/>
    <w:rsid w:val="00852048"/>
    <w:rsid w:val="00870910"/>
    <w:rsid w:val="008840D3"/>
    <w:rsid w:val="008C1A63"/>
    <w:rsid w:val="008F320B"/>
    <w:rsid w:val="00900487"/>
    <w:rsid w:val="00936BE0"/>
    <w:rsid w:val="0098712B"/>
    <w:rsid w:val="009A28F7"/>
    <w:rsid w:val="009A3488"/>
    <w:rsid w:val="009C3F5A"/>
    <w:rsid w:val="00A1156F"/>
    <w:rsid w:val="00A17C23"/>
    <w:rsid w:val="00A21134"/>
    <w:rsid w:val="00A407D7"/>
    <w:rsid w:val="00A45647"/>
    <w:rsid w:val="00A622EC"/>
    <w:rsid w:val="00A65528"/>
    <w:rsid w:val="00A801CE"/>
    <w:rsid w:val="00AA78EC"/>
    <w:rsid w:val="00AC0071"/>
    <w:rsid w:val="00AE2986"/>
    <w:rsid w:val="00AF1E18"/>
    <w:rsid w:val="00B0177C"/>
    <w:rsid w:val="00B11403"/>
    <w:rsid w:val="00B16410"/>
    <w:rsid w:val="00B5026D"/>
    <w:rsid w:val="00B61AE6"/>
    <w:rsid w:val="00B76635"/>
    <w:rsid w:val="00B803A5"/>
    <w:rsid w:val="00B83160"/>
    <w:rsid w:val="00B8663C"/>
    <w:rsid w:val="00B93568"/>
    <w:rsid w:val="00BC48A0"/>
    <w:rsid w:val="00BC4F6A"/>
    <w:rsid w:val="00BD01D8"/>
    <w:rsid w:val="00BE5A65"/>
    <w:rsid w:val="00BF1CC3"/>
    <w:rsid w:val="00BF589B"/>
    <w:rsid w:val="00C01DE4"/>
    <w:rsid w:val="00C41ECA"/>
    <w:rsid w:val="00C509B1"/>
    <w:rsid w:val="00C71A0C"/>
    <w:rsid w:val="00C80CB5"/>
    <w:rsid w:val="00C845F5"/>
    <w:rsid w:val="00C93C0A"/>
    <w:rsid w:val="00CA203F"/>
    <w:rsid w:val="00CB2101"/>
    <w:rsid w:val="00CD567C"/>
    <w:rsid w:val="00CE13B0"/>
    <w:rsid w:val="00CE4CF5"/>
    <w:rsid w:val="00D01DC2"/>
    <w:rsid w:val="00D424A9"/>
    <w:rsid w:val="00D568F1"/>
    <w:rsid w:val="00D85F12"/>
    <w:rsid w:val="00DB2B65"/>
    <w:rsid w:val="00DC5E0F"/>
    <w:rsid w:val="00DC677C"/>
    <w:rsid w:val="00DC7259"/>
    <w:rsid w:val="00DD1F54"/>
    <w:rsid w:val="00DE362D"/>
    <w:rsid w:val="00E03697"/>
    <w:rsid w:val="00E31208"/>
    <w:rsid w:val="00E35730"/>
    <w:rsid w:val="00E4345E"/>
    <w:rsid w:val="00E53425"/>
    <w:rsid w:val="00E73E68"/>
    <w:rsid w:val="00E8298C"/>
    <w:rsid w:val="00EB475F"/>
    <w:rsid w:val="00F45454"/>
    <w:rsid w:val="00F46989"/>
    <w:rsid w:val="00F52C18"/>
    <w:rsid w:val="00F64943"/>
    <w:rsid w:val="00F65FD3"/>
    <w:rsid w:val="00FE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528"/>
    <w:pPr>
      <w:spacing w:line="360" w:lineRule="auto"/>
      <w:ind w:firstLine="720"/>
      <w:jc w:val="both"/>
    </w:pPr>
    <w:rPr>
      <w:sz w:val="28"/>
    </w:rPr>
  </w:style>
  <w:style w:type="paragraph" w:styleId="10">
    <w:name w:val="heading 1"/>
    <w:basedOn w:val="a"/>
    <w:next w:val="a"/>
    <w:link w:val="11"/>
    <w:qFormat/>
    <w:rsid w:val="008840D3"/>
    <w:pPr>
      <w:keepNext/>
      <w:spacing w:before="240" w:after="60" w:line="240" w:lineRule="auto"/>
      <w:ind w:firstLine="0"/>
      <w:jc w:val="left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"/>
    <w:basedOn w:val="a"/>
    <w:rsid w:val="00A65528"/>
  </w:style>
  <w:style w:type="paragraph" w:styleId="a4">
    <w:name w:val="Balloon Text"/>
    <w:basedOn w:val="a"/>
    <w:semiHidden/>
    <w:rsid w:val="000F2B98"/>
    <w:rPr>
      <w:rFonts w:ascii="Tahoma" w:hAnsi="Tahoma" w:cs="Tahoma"/>
      <w:sz w:val="16"/>
      <w:szCs w:val="16"/>
    </w:rPr>
  </w:style>
  <w:style w:type="character" w:styleId="HTML">
    <w:name w:val="HTML Acronym"/>
    <w:basedOn w:val="a0"/>
    <w:rsid w:val="00B803A5"/>
  </w:style>
  <w:style w:type="character" w:customStyle="1" w:styleId="11">
    <w:name w:val="Заголовок 1 Знак"/>
    <w:basedOn w:val="a0"/>
    <w:link w:val="10"/>
    <w:rsid w:val="008840D3"/>
    <w:rPr>
      <w:rFonts w:ascii="Arial" w:hAnsi="Arial"/>
      <w:b/>
      <w:bCs/>
      <w:kern w:val="32"/>
      <w:sz w:val="32"/>
      <w:szCs w:val="32"/>
      <w:lang w:val="x-none"/>
    </w:rPr>
  </w:style>
  <w:style w:type="paragraph" w:customStyle="1" w:styleId="2">
    <w:name w:val="Пункт_2"/>
    <w:basedOn w:val="a"/>
    <w:rsid w:val="008840D3"/>
    <w:pPr>
      <w:numPr>
        <w:ilvl w:val="1"/>
        <w:numId w:val="7"/>
      </w:numPr>
    </w:pPr>
    <w:rPr>
      <w:snapToGrid w:val="0"/>
    </w:rPr>
  </w:style>
  <w:style w:type="paragraph" w:customStyle="1" w:styleId="3">
    <w:name w:val="Пункт_3"/>
    <w:basedOn w:val="2"/>
    <w:rsid w:val="008840D3"/>
    <w:pPr>
      <w:numPr>
        <w:ilvl w:val="2"/>
      </w:numPr>
    </w:pPr>
  </w:style>
  <w:style w:type="paragraph" w:customStyle="1" w:styleId="4">
    <w:name w:val="Пункт_4"/>
    <w:basedOn w:val="3"/>
    <w:rsid w:val="008840D3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"/>
    <w:rsid w:val="008840D3"/>
    <w:pPr>
      <w:numPr>
        <w:ilvl w:val="4"/>
        <w:numId w:val="7"/>
      </w:numPr>
    </w:pPr>
    <w:rPr>
      <w:snapToGrid w:val="0"/>
    </w:rPr>
  </w:style>
  <w:style w:type="paragraph" w:customStyle="1" w:styleId="1">
    <w:name w:val="Пункт_1"/>
    <w:basedOn w:val="a"/>
    <w:rsid w:val="008840D3"/>
    <w:pPr>
      <w:keepNext/>
      <w:numPr>
        <w:numId w:val="7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styleId="a5">
    <w:name w:val="Hyperlink"/>
    <w:rsid w:val="008840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528"/>
    <w:pPr>
      <w:spacing w:line="360" w:lineRule="auto"/>
      <w:ind w:firstLine="720"/>
      <w:jc w:val="both"/>
    </w:pPr>
    <w:rPr>
      <w:sz w:val="28"/>
    </w:rPr>
  </w:style>
  <w:style w:type="paragraph" w:styleId="10">
    <w:name w:val="heading 1"/>
    <w:basedOn w:val="a"/>
    <w:next w:val="a"/>
    <w:link w:val="11"/>
    <w:qFormat/>
    <w:rsid w:val="008840D3"/>
    <w:pPr>
      <w:keepNext/>
      <w:spacing w:before="240" w:after="60" w:line="240" w:lineRule="auto"/>
      <w:ind w:firstLine="0"/>
      <w:jc w:val="left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"/>
    <w:basedOn w:val="a"/>
    <w:rsid w:val="00A65528"/>
  </w:style>
  <w:style w:type="paragraph" w:styleId="a4">
    <w:name w:val="Balloon Text"/>
    <w:basedOn w:val="a"/>
    <w:semiHidden/>
    <w:rsid w:val="000F2B98"/>
    <w:rPr>
      <w:rFonts w:ascii="Tahoma" w:hAnsi="Tahoma" w:cs="Tahoma"/>
      <w:sz w:val="16"/>
      <w:szCs w:val="16"/>
    </w:rPr>
  </w:style>
  <w:style w:type="character" w:styleId="HTML">
    <w:name w:val="HTML Acronym"/>
    <w:basedOn w:val="a0"/>
    <w:rsid w:val="00B803A5"/>
  </w:style>
  <w:style w:type="character" w:customStyle="1" w:styleId="11">
    <w:name w:val="Заголовок 1 Знак"/>
    <w:basedOn w:val="a0"/>
    <w:link w:val="10"/>
    <w:rsid w:val="008840D3"/>
    <w:rPr>
      <w:rFonts w:ascii="Arial" w:hAnsi="Arial"/>
      <w:b/>
      <w:bCs/>
      <w:kern w:val="32"/>
      <w:sz w:val="32"/>
      <w:szCs w:val="32"/>
      <w:lang w:val="x-none"/>
    </w:rPr>
  </w:style>
  <w:style w:type="paragraph" w:customStyle="1" w:styleId="2">
    <w:name w:val="Пункт_2"/>
    <w:basedOn w:val="a"/>
    <w:rsid w:val="008840D3"/>
    <w:pPr>
      <w:numPr>
        <w:ilvl w:val="1"/>
        <w:numId w:val="7"/>
      </w:numPr>
    </w:pPr>
    <w:rPr>
      <w:snapToGrid w:val="0"/>
    </w:rPr>
  </w:style>
  <w:style w:type="paragraph" w:customStyle="1" w:styleId="3">
    <w:name w:val="Пункт_3"/>
    <w:basedOn w:val="2"/>
    <w:rsid w:val="008840D3"/>
    <w:pPr>
      <w:numPr>
        <w:ilvl w:val="2"/>
      </w:numPr>
    </w:pPr>
  </w:style>
  <w:style w:type="paragraph" w:customStyle="1" w:styleId="4">
    <w:name w:val="Пункт_4"/>
    <w:basedOn w:val="3"/>
    <w:rsid w:val="008840D3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"/>
    <w:rsid w:val="008840D3"/>
    <w:pPr>
      <w:numPr>
        <w:ilvl w:val="4"/>
        <w:numId w:val="7"/>
      </w:numPr>
    </w:pPr>
    <w:rPr>
      <w:snapToGrid w:val="0"/>
    </w:rPr>
  </w:style>
  <w:style w:type="paragraph" w:customStyle="1" w:styleId="1">
    <w:name w:val="Пункт_1"/>
    <w:basedOn w:val="a"/>
    <w:rsid w:val="008840D3"/>
    <w:pPr>
      <w:keepNext/>
      <w:numPr>
        <w:numId w:val="7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styleId="a5">
    <w:name w:val="Hyperlink"/>
    <w:rsid w:val="0088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D0%A1%D0%BE%D0%B1%D1%81%D1%82%D0%B2%D0%B5%D0%BD%D0%BD%D0%BE%D1%81%D1%82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4%D0%BE%D1%85%D0%BE%D0%B4%D1%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«МРСК Юга»</vt:lpstr>
    </vt:vector>
  </TitlesOfParts>
  <Company>Reanimator Extreme Edition</Company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«МРСК Юга»</dc:title>
  <dc:creator>Пидронова</dc:creator>
  <cp:lastModifiedBy>Снегирева Людмила Александровна</cp:lastModifiedBy>
  <cp:revision>9</cp:revision>
  <cp:lastPrinted>2014-01-22T04:01:00Z</cp:lastPrinted>
  <dcterms:created xsi:type="dcterms:W3CDTF">2014-01-14T05:53:00Z</dcterms:created>
  <dcterms:modified xsi:type="dcterms:W3CDTF">2014-03-06T06:32:00Z</dcterms:modified>
</cp:coreProperties>
</file>